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pacing w:val="10"/>
          <w:sz w:val="36"/>
          <w:szCs w:val="36"/>
          <w:lang w:val="en-US" w:eastAsia="zh-CN"/>
        </w:rPr>
        <w:t>LTJ5310TYL</w:t>
      </w:r>
      <w:r>
        <w:rPr>
          <w:spacing w:val="10"/>
          <w:sz w:val="36"/>
          <w:szCs w:val="36"/>
        </w:rPr>
        <w:t>250</w:t>
      </w:r>
      <w:r>
        <w:rPr>
          <w:rFonts w:ascii="金长城黑体" w:hAnsi="金长城黑体"/>
          <w:spacing w:val="10"/>
          <w:sz w:val="36"/>
          <w:szCs w:val="36"/>
        </w:rPr>
        <w:t>型压裂车</w:t>
      </w:r>
    </w:p>
    <w:p>
      <w:pPr>
        <w:spacing w:line="360" w:lineRule="auto"/>
        <w:rPr>
          <w:rFonts w:eastAsia="金长城黑宋体"/>
          <w:sz w:val="24"/>
        </w:rPr>
      </w:pPr>
      <w:r>
        <w:rPr>
          <w:rFonts w:hint="eastAsia"/>
          <w:sz w:val="24"/>
          <w:szCs w:val="24"/>
        </w:rPr>
        <w:t xml:space="preserve">    </w:t>
      </w:r>
      <w:r>
        <w:rPr>
          <w:rFonts w:hint="eastAsia" w:eastAsia="金长城黑宋体"/>
          <w:sz w:val="24"/>
        </w:rPr>
        <w:t>主要产品配置</w:t>
      </w:r>
    </w:p>
    <w:p>
      <w:pPr>
        <w:spacing w:line="360" w:lineRule="auto"/>
        <w:ind w:left="420" w:leftChars="200"/>
        <w:rPr>
          <w:sz w:val="24"/>
        </w:rPr>
      </w:pPr>
      <w:r>
        <w:rPr>
          <w:rFonts w:hint="eastAsia"/>
          <w:sz w:val="24"/>
        </w:rPr>
        <w:t>1、载重汽车</w:t>
      </w:r>
    </w:p>
    <w:p>
      <w:pPr>
        <w:spacing w:line="360" w:lineRule="auto"/>
        <w:ind w:left="420" w:leftChars="200" w:firstLine="360" w:firstLineChars="150"/>
        <w:rPr>
          <w:sz w:val="24"/>
        </w:rPr>
      </w:pPr>
      <w:r>
        <w:rPr>
          <w:rFonts w:hint="eastAsia"/>
          <w:sz w:val="24"/>
        </w:rPr>
        <w:t>型号：北奔ND5440TTZZ02（国V）</w:t>
      </w:r>
    </w:p>
    <w:p>
      <w:pPr>
        <w:spacing w:line="360" w:lineRule="auto"/>
        <w:ind w:left="420" w:leftChars="200" w:firstLine="360" w:firstLineChars="150"/>
        <w:rPr>
          <w:sz w:val="24"/>
        </w:rPr>
      </w:pPr>
      <w:r>
        <w:rPr>
          <w:rFonts w:hint="eastAsia"/>
          <w:sz w:val="24"/>
        </w:rPr>
        <w:t>驱动形式：8×4</w:t>
      </w:r>
    </w:p>
    <w:p>
      <w:pPr>
        <w:spacing w:line="360" w:lineRule="auto"/>
        <w:ind w:left="420" w:leftChars="200" w:firstLine="360" w:firstLineChars="150"/>
        <w:rPr>
          <w:rFonts w:hint="eastAsia"/>
          <w:sz w:val="24"/>
        </w:rPr>
      </w:pPr>
      <w:r>
        <w:rPr>
          <w:rFonts w:hint="eastAsia"/>
          <w:sz w:val="24"/>
        </w:rPr>
        <w:t>轴距：1500+4750+1450</w:t>
      </w:r>
    </w:p>
    <w:p>
      <w:pPr>
        <w:spacing w:line="360" w:lineRule="auto"/>
        <w:ind w:left="420" w:leftChars="200" w:firstLine="360" w:firstLineChars="150"/>
        <w:rPr>
          <w:sz w:val="24"/>
        </w:rPr>
      </w:pPr>
      <w:r>
        <w:rPr>
          <w:rFonts w:hint="eastAsia"/>
          <w:sz w:val="24"/>
        </w:rPr>
        <w:t>载重：44T</w:t>
      </w:r>
    </w:p>
    <w:p>
      <w:pPr>
        <w:spacing w:line="360" w:lineRule="auto"/>
        <w:ind w:left="420" w:leftChars="200" w:firstLine="360" w:firstLineChars="150"/>
        <w:rPr>
          <w:sz w:val="24"/>
        </w:rPr>
      </w:pPr>
      <w:r>
        <w:rPr>
          <w:rFonts w:hint="eastAsia"/>
          <w:sz w:val="24"/>
        </w:rPr>
        <w:t>发动机型号：WP12.375E50</w:t>
      </w:r>
    </w:p>
    <w:p>
      <w:pPr>
        <w:spacing w:line="360" w:lineRule="auto"/>
        <w:ind w:left="420" w:leftChars="200" w:firstLine="360" w:firstLineChars="150"/>
        <w:rPr>
          <w:sz w:val="24"/>
        </w:rPr>
      </w:pPr>
      <w:r>
        <w:rPr>
          <w:rFonts w:hint="eastAsia"/>
          <w:sz w:val="24"/>
        </w:rPr>
        <w:t>发动机功率：276kw</w:t>
      </w:r>
    </w:p>
    <w:p>
      <w:pPr>
        <w:spacing w:line="360" w:lineRule="auto"/>
        <w:ind w:left="420" w:leftChars="200" w:firstLine="360" w:firstLineChars="150"/>
        <w:rPr>
          <w:sz w:val="24"/>
        </w:rPr>
      </w:pPr>
      <w:r>
        <w:rPr>
          <w:rFonts w:hint="eastAsia"/>
          <w:sz w:val="24"/>
        </w:rPr>
        <w:t>变速箱型号：12JS200T</w:t>
      </w:r>
    </w:p>
    <w:p>
      <w:pPr>
        <w:spacing w:line="360" w:lineRule="auto"/>
        <w:ind w:left="420" w:leftChars="200" w:firstLine="360" w:firstLineChars="150"/>
        <w:rPr>
          <w:sz w:val="24"/>
        </w:rPr>
      </w:pPr>
      <w:r>
        <w:rPr>
          <w:rFonts w:hint="eastAsia"/>
          <w:sz w:val="24"/>
        </w:rPr>
        <w:t>发动机转速：2200rPm</w:t>
      </w:r>
    </w:p>
    <w:p>
      <w:pPr>
        <w:spacing w:line="360" w:lineRule="auto"/>
        <w:ind w:left="420" w:leftChars="200" w:firstLine="360" w:firstLineChars="150"/>
        <w:rPr>
          <w:sz w:val="24"/>
          <w:u w:val="single"/>
        </w:rPr>
      </w:pPr>
      <w:r>
        <w:rPr>
          <w:rFonts w:hint="eastAsia"/>
          <w:sz w:val="24"/>
        </w:rPr>
        <w:t>汽车颜色：</w:t>
      </w:r>
      <w:r>
        <w:rPr>
          <w:rFonts w:hint="eastAsia"/>
          <w:sz w:val="24"/>
          <w:u w:val="single"/>
        </w:rPr>
        <w:t xml:space="preserve">       </w:t>
      </w:r>
    </w:p>
    <w:p>
      <w:pPr>
        <w:spacing w:line="360" w:lineRule="auto"/>
        <w:ind w:left="420" w:leftChars="200" w:firstLine="360" w:firstLineChars="150"/>
        <w:rPr>
          <w:rFonts w:hint="eastAsia"/>
          <w:sz w:val="24"/>
        </w:rPr>
      </w:pPr>
      <w:r>
        <w:rPr>
          <w:rFonts w:hint="eastAsia"/>
          <w:sz w:val="24"/>
        </w:rPr>
        <w:t>轮胎为钢丝胎。</w:t>
      </w:r>
    </w:p>
    <w:p>
      <w:pPr>
        <w:spacing w:line="360" w:lineRule="auto"/>
        <w:ind w:left="420" w:leftChars="200" w:firstLine="360" w:firstLineChars="150"/>
        <w:rPr>
          <w:sz w:val="24"/>
        </w:rPr>
      </w:pPr>
      <w:r>
        <w:rPr>
          <w:rFonts w:hint="eastAsia"/>
          <w:sz w:val="24"/>
        </w:rPr>
        <w:t>长驾平顶（单卧铺），简易空调。</w:t>
      </w:r>
    </w:p>
    <w:p>
      <w:pPr>
        <w:spacing w:line="360" w:lineRule="auto"/>
        <w:ind w:left="420" w:leftChars="200"/>
        <w:rPr>
          <w:sz w:val="24"/>
        </w:rPr>
      </w:pPr>
      <w:r>
        <w:rPr>
          <w:rFonts w:hint="eastAsia"/>
          <w:sz w:val="24"/>
        </w:rPr>
        <w:t>2、台上柴油机</w:t>
      </w:r>
    </w:p>
    <w:p>
      <w:pPr>
        <w:spacing w:line="360" w:lineRule="auto"/>
        <w:ind w:left="420" w:leftChars="200" w:firstLine="360" w:firstLineChars="150"/>
        <w:rPr>
          <w:sz w:val="24"/>
        </w:rPr>
      </w:pPr>
      <w:r>
        <w:rPr>
          <w:rFonts w:hint="eastAsia"/>
          <w:sz w:val="24"/>
        </w:rPr>
        <w:t>型号：卡特匹勒3512C（美国原装进口）</w:t>
      </w:r>
    </w:p>
    <w:p>
      <w:pPr>
        <w:spacing w:line="360" w:lineRule="auto"/>
        <w:ind w:left="420" w:leftChars="200" w:firstLine="360" w:firstLineChars="150"/>
        <w:rPr>
          <w:sz w:val="24"/>
        </w:rPr>
      </w:pPr>
      <w:r>
        <w:rPr>
          <w:rFonts w:hint="eastAsia"/>
          <w:sz w:val="24"/>
        </w:rPr>
        <w:t>功率：2500HP（1865kw）</w:t>
      </w:r>
    </w:p>
    <w:p>
      <w:pPr>
        <w:spacing w:line="360" w:lineRule="auto"/>
        <w:ind w:left="420" w:leftChars="200" w:firstLine="360" w:firstLineChars="150"/>
        <w:rPr>
          <w:sz w:val="24"/>
        </w:rPr>
      </w:pPr>
      <w:r>
        <w:rPr>
          <w:rFonts w:hint="eastAsia"/>
          <w:sz w:val="24"/>
        </w:rPr>
        <w:t>转速：1900 r/min</w:t>
      </w:r>
    </w:p>
    <w:p>
      <w:pPr>
        <w:spacing w:line="360" w:lineRule="auto"/>
        <w:ind w:left="420" w:leftChars="200" w:firstLine="360" w:firstLineChars="150"/>
        <w:rPr>
          <w:sz w:val="24"/>
        </w:rPr>
      </w:pPr>
      <w:r>
        <w:rPr>
          <w:rFonts w:hint="eastAsia"/>
          <w:sz w:val="24"/>
        </w:rPr>
        <w:t>最大扭矩：10027 N.m</w:t>
      </w:r>
    </w:p>
    <w:p>
      <w:pPr>
        <w:spacing w:line="360" w:lineRule="auto"/>
        <w:ind w:left="420" w:leftChars="200" w:firstLine="360" w:firstLineChars="150"/>
        <w:rPr>
          <w:sz w:val="24"/>
        </w:rPr>
      </w:pPr>
      <w:r>
        <w:rPr>
          <w:rFonts w:hint="eastAsia"/>
          <w:sz w:val="24"/>
        </w:rPr>
        <w:t>水箱为立式、吸风式，并带上水扶梯和冷却液加热锅炉。</w:t>
      </w:r>
    </w:p>
    <w:p>
      <w:pPr>
        <w:spacing w:line="360" w:lineRule="auto"/>
        <w:ind w:left="420" w:leftChars="200" w:firstLine="360" w:firstLineChars="150"/>
        <w:rPr>
          <w:sz w:val="24"/>
        </w:rPr>
      </w:pPr>
      <w:r>
        <w:rPr>
          <w:rFonts w:hint="eastAsia"/>
          <w:sz w:val="24"/>
        </w:rPr>
        <w:t>启动形式：液启动</w:t>
      </w:r>
    </w:p>
    <w:p>
      <w:pPr>
        <w:spacing w:line="360" w:lineRule="auto"/>
        <w:ind w:left="420" w:leftChars="200"/>
        <w:rPr>
          <w:sz w:val="24"/>
        </w:rPr>
      </w:pPr>
      <w:r>
        <w:rPr>
          <w:rFonts w:hint="eastAsia"/>
          <w:sz w:val="24"/>
        </w:rPr>
        <w:t>3、变速箱</w:t>
      </w:r>
    </w:p>
    <w:p>
      <w:pPr>
        <w:spacing w:line="360" w:lineRule="auto"/>
        <w:ind w:left="420" w:leftChars="200" w:firstLine="360" w:firstLineChars="150"/>
        <w:rPr>
          <w:sz w:val="24"/>
        </w:rPr>
      </w:pPr>
      <w:r>
        <w:rPr>
          <w:rFonts w:hint="eastAsia"/>
          <w:sz w:val="24"/>
        </w:rPr>
        <w:t>型号：卡特TH55-E70</w:t>
      </w:r>
    </w:p>
    <w:p>
      <w:pPr>
        <w:spacing w:line="360" w:lineRule="auto"/>
        <w:ind w:left="420" w:leftChars="200" w:firstLine="360" w:firstLineChars="150"/>
        <w:rPr>
          <w:sz w:val="24"/>
        </w:rPr>
      </w:pPr>
      <w:r>
        <w:rPr>
          <w:rFonts w:hint="eastAsia"/>
          <w:sz w:val="24"/>
        </w:rPr>
        <w:t>最大输入功率：2500 HP</w:t>
      </w:r>
    </w:p>
    <w:p>
      <w:pPr>
        <w:spacing w:line="360" w:lineRule="auto"/>
        <w:ind w:left="420" w:leftChars="200" w:firstLine="360" w:firstLineChars="150"/>
        <w:rPr>
          <w:sz w:val="24"/>
        </w:rPr>
      </w:pPr>
      <w:r>
        <w:rPr>
          <w:rFonts w:hint="eastAsia"/>
          <w:sz w:val="24"/>
        </w:rPr>
        <w:t>最高输入转速：1970rPm</w:t>
      </w:r>
    </w:p>
    <w:p>
      <w:pPr>
        <w:spacing w:line="360" w:lineRule="auto"/>
        <w:ind w:left="420" w:leftChars="200" w:firstLine="360" w:firstLineChars="150"/>
        <w:rPr>
          <w:sz w:val="24"/>
        </w:rPr>
      </w:pPr>
      <w:r>
        <w:rPr>
          <w:rFonts w:hint="eastAsia"/>
          <w:sz w:val="24"/>
        </w:rPr>
        <w:t>最大输入扭矩：10028N.m</w:t>
      </w:r>
    </w:p>
    <w:p>
      <w:pPr>
        <w:spacing w:line="360" w:lineRule="auto"/>
        <w:ind w:left="420" w:leftChars="200" w:firstLine="360" w:firstLineChars="150"/>
        <w:rPr>
          <w:sz w:val="24"/>
        </w:rPr>
      </w:pPr>
      <w:r>
        <w:rPr>
          <w:rFonts w:hint="eastAsia"/>
          <w:sz w:val="24"/>
        </w:rPr>
        <w:t>速比：</w:t>
      </w:r>
    </w:p>
    <w:tbl>
      <w:tblPr>
        <w:tblStyle w:val="3"/>
        <w:tblW w:w="7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947"/>
        <w:gridCol w:w="947"/>
        <w:gridCol w:w="948"/>
        <w:gridCol w:w="948"/>
        <w:gridCol w:w="948"/>
        <w:gridCol w:w="9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47" w:type="dxa"/>
            <w:shd w:val="clear" w:color="auto" w:fill="auto"/>
            <w:noWrap/>
            <w:vAlign w:val="center"/>
          </w:tcPr>
          <w:p>
            <w:pPr>
              <w:spacing w:line="360" w:lineRule="auto"/>
              <w:jc w:val="center"/>
              <w:rPr>
                <w:sz w:val="24"/>
              </w:rPr>
            </w:pPr>
            <w:r>
              <w:rPr>
                <w:rFonts w:hint="eastAsia"/>
                <w:sz w:val="24"/>
              </w:rPr>
              <w:t>挡位</w:t>
            </w:r>
          </w:p>
        </w:tc>
        <w:tc>
          <w:tcPr>
            <w:tcW w:w="947" w:type="dxa"/>
            <w:shd w:val="clear" w:color="auto" w:fill="auto"/>
            <w:noWrap/>
            <w:vAlign w:val="center"/>
          </w:tcPr>
          <w:p>
            <w:pPr>
              <w:spacing w:line="360" w:lineRule="auto"/>
              <w:jc w:val="center"/>
              <w:rPr>
                <w:sz w:val="24"/>
              </w:rPr>
            </w:pPr>
            <w:r>
              <w:rPr>
                <w:rFonts w:hint="eastAsia"/>
                <w:sz w:val="24"/>
              </w:rPr>
              <w:t>Ⅰ</w:t>
            </w:r>
          </w:p>
        </w:tc>
        <w:tc>
          <w:tcPr>
            <w:tcW w:w="947" w:type="dxa"/>
            <w:shd w:val="clear" w:color="auto" w:fill="auto"/>
            <w:noWrap/>
            <w:vAlign w:val="center"/>
          </w:tcPr>
          <w:p>
            <w:pPr>
              <w:spacing w:line="360" w:lineRule="auto"/>
              <w:jc w:val="center"/>
              <w:rPr>
                <w:sz w:val="24"/>
              </w:rPr>
            </w:pPr>
            <w:r>
              <w:rPr>
                <w:rFonts w:hint="eastAsia"/>
                <w:sz w:val="24"/>
              </w:rPr>
              <w:t>Ⅱ</w:t>
            </w:r>
          </w:p>
        </w:tc>
        <w:tc>
          <w:tcPr>
            <w:tcW w:w="948" w:type="dxa"/>
            <w:shd w:val="clear" w:color="auto" w:fill="auto"/>
            <w:noWrap/>
            <w:vAlign w:val="center"/>
          </w:tcPr>
          <w:p>
            <w:pPr>
              <w:spacing w:line="360" w:lineRule="auto"/>
              <w:jc w:val="center"/>
              <w:rPr>
                <w:sz w:val="24"/>
              </w:rPr>
            </w:pPr>
            <w:r>
              <w:rPr>
                <w:rFonts w:hint="eastAsia"/>
                <w:sz w:val="24"/>
              </w:rPr>
              <w:t>Ⅲ</w:t>
            </w:r>
          </w:p>
        </w:tc>
        <w:tc>
          <w:tcPr>
            <w:tcW w:w="948" w:type="dxa"/>
            <w:shd w:val="clear" w:color="auto" w:fill="auto"/>
            <w:noWrap/>
            <w:vAlign w:val="center"/>
          </w:tcPr>
          <w:p>
            <w:pPr>
              <w:spacing w:line="360" w:lineRule="auto"/>
              <w:jc w:val="center"/>
              <w:rPr>
                <w:sz w:val="24"/>
              </w:rPr>
            </w:pPr>
            <w:r>
              <w:rPr>
                <w:rFonts w:hint="eastAsia"/>
                <w:sz w:val="24"/>
              </w:rPr>
              <w:t>Ⅳ</w:t>
            </w:r>
          </w:p>
        </w:tc>
        <w:tc>
          <w:tcPr>
            <w:tcW w:w="948" w:type="dxa"/>
            <w:shd w:val="clear" w:color="auto" w:fill="auto"/>
            <w:noWrap/>
            <w:vAlign w:val="center"/>
          </w:tcPr>
          <w:p>
            <w:pPr>
              <w:spacing w:line="360" w:lineRule="auto"/>
              <w:jc w:val="center"/>
              <w:rPr>
                <w:sz w:val="24"/>
              </w:rPr>
            </w:pPr>
            <w:r>
              <w:rPr>
                <w:rFonts w:hint="eastAsia"/>
                <w:sz w:val="24"/>
              </w:rPr>
              <w:t>Ⅴ</w:t>
            </w:r>
          </w:p>
        </w:tc>
        <w:tc>
          <w:tcPr>
            <w:tcW w:w="948" w:type="dxa"/>
            <w:shd w:val="clear" w:color="auto" w:fill="auto"/>
            <w:noWrap/>
            <w:vAlign w:val="center"/>
          </w:tcPr>
          <w:p>
            <w:pPr>
              <w:spacing w:line="360" w:lineRule="auto"/>
              <w:jc w:val="center"/>
              <w:rPr>
                <w:sz w:val="24"/>
              </w:rPr>
            </w:pPr>
            <w:r>
              <w:rPr>
                <w:rFonts w:hint="eastAsia"/>
                <w:sz w:val="24"/>
              </w:rPr>
              <w:t>Ⅵ</w:t>
            </w:r>
          </w:p>
        </w:tc>
        <w:tc>
          <w:tcPr>
            <w:tcW w:w="948" w:type="dxa"/>
            <w:shd w:val="clear" w:color="auto" w:fill="auto"/>
            <w:noWrap/>
            <w:vAlign w:val="center"/>
          </w:tcPr>
          <w:p>
            <w:pPr>
              <w:spacing w:line="360" w:lineRule="auto"/>
              <w:jc w:val="center"/>
              <w:rPr>
                <w:sz w:val="24"/>
              </w:rPr>
            </w:pPr>
            <w:r>
              <w:rPr>
                <w:rFonts w:hint="eastAsia"/>
                <w:sz w:val="24"/>
              </w:rPr>
              <w:t>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47" w:type="dxa"/>
            <w:shd w:val="clear" w:color="auto" w:fill="auto"/>
            <w:noWrap/>
            <w:vAlign w:val="center"/>
          </w:tcPr>
          <w:p>
            <w:pPr>
              <w:spacing w:line="360" w:lineRule="auto"/>
              <w:jc w:val="center"/>
              <w:rPr>
                <w:sz w:val="24"/>
              </w:rPr>
            </w:pPr>
            <w:r>
              <w:rPr>
                <w:rFonts w:hint="eastAsia"/>
                <w:sz w:val="24"/>
              </w:rPr>
              <w:t>速比</w:t>
            </w:r>
          </w:p>
        </w:tc>
        <w:tc>
          <w:tcPr>
            <w:tcW w:w="947" w:type="dxa"/>
            <w:shd w:val="clear" w:color="auto" w:fill="auto"/>
            <w:noWrap/>
            <w:vAlign w:val="center"/>
          </w:tcPr>
          <w:p>
            <w:pPr>
              <w:spacing w:line="360" w:lineRule="auto"/>
              <w:jc w:val="center"/>
              <w:rPr>
                <w:sz w:val="24"/>
              </w:rPr>
            </w:pPr>
            <w:r>
              <w:rPr>
                <w:rFonts w:hint="eastAsia"/>
                <w:sz w:val="24"/>
              </w:rPr>
              <w:t>6.25</w:t>
            </w:r>
          </w:p>
        </w:tc>
        <w:tc>
          <w:tcPr>
            <w:tcW w:w="947" w:type="dxa"/>
            <w:shd w:val="clear" w:color="auto" w:fill="auto"/>
            <w:noWrap/>
            <w:vAlign w:val="center"/>
          </w:tcPr>
          <w:p>
            <w:pPr>
              <w:spacing w:line="360" w:lineRule="auto"/>
              <w:jc w:val="center"/>
              <w:rPr>
                <w:sz w:val="24"/>
              </w:rPr>
            </w:pPr>
            <w:r>
              <w:rPr>
                <w:rFonts w:hint="eastAsia"/>
                <w:sz w:val="24"/>
              </w:rPr>
              <w:t>4.59</w:t>
            </w:r>
          </w:p>
        </w:tc>
        <w:tc>
          <w:tcPr>
            <w:tcW w:w="948" w:type="dxa"/>
            <w:shd w:val="clear" w:color="auto" w:fill="auto"/>
            <w:noWrap/>
            <w:vAlign w:val="center"/>
          </w:tcPr>
          <w:p>
            <w:pPr>
              <w:spacing w:line="360" w:lineRule="auto"/>
              <w:jc w:val="center"/>
              <w:rPr>
                <w:sz w:val="24"/>
              </w:rPr>
            </w:pPr>
            <w:r>
              <w:rPr>
                <w:rFonts w:hint="eastAsia"/>
                <w:sz w:val="24"/>
              </w:rPr>
              <w:t>3.38</w:t>
            </w:r>
          </w:p>
        </w:tc>
        <w:tc>
          <w:tcPr>
            <w:tcW w:w="948" w:type="dxa"/>
            <w:shd w:val="clear" w:color="auto" w:fill="auto"/>
            <w:noWrap/>
            <w:vAlign w:val="center"/>
          </w:tcPr>
          <w:p>
            <w:pPr>
              <w:spacing w:line="360" w:lineRule="auto"/>
              <w:jc w:val="center"/>
              <w:rPr>
                <w:sz w:val="24"/>
              </w:rPr>
            </w:pPr>
            <w:r>
              <w:rPr>
                <w:rFonts w:hint="eastAsia"/>
                <w:sz w:val="24"/>
              </w:rPr>
              <w:t>2.48</w:t>
            </w:r>
          </w:p>
        </w:tc>
        <w:tc>
          <w:tcPr>
            <w:tcW w:w="948" w:type="dxa"/>
            <w:shd w:val="clear" w:color="auto" w:fill="auto"/>
            <w:noWrap/>
            <w:vAlign w:val="center"/>
          </w:tcPr>
          <w:p>
            <w:pPr>
              <w:spacing w:line="360" w:lineRule="auto"/>
              <w:jc w:val="center"/>
              <w:rPr>
                <w:sz w:val="24"/>
              </w:rPr>
            </w:pPr>
            <w:r>
              <w:rPr>
                <w:rFonts w:hint="eastAsia"/>
                <w:sz w:val="24"/>
              </w:rPr>
              <w:t>1.83</w:t>
            </w:r>
          </w:p>
        </w:tc>
        <w:tc>
          <w:tcPr>
            <w:tcW w:w="948" w:type="dxa"/>
            <w:shd w:val="clear" w:color="auto" w:fill="auto"/>
            <w:noWrap/>
            <w:vAlign w:val="center"/>
          </w:tcPr>
          <w:p>
            <w:pPr>
              <w:spacing w:line="360" w:lineRule="auto"/>
              <w:jc w:val="center"/>
              <w:rPr>
                <w:sz w:val="24"/>
              </w:rPr>
            </w:pPr>
            <w:r>
              <w:rPr>
                <w:rFonts w:hint="eastAsia"/>
                <w:sz w:val="24"/>
              </w:rPr>
              <w:t>1.36</w:t>
            </w:r>
          </w:p>
        </w:tc>
        <w:tc>
          <w:tcPr>
            <w:tcW w:w="948" w:type="dxa"/>
            <w:shd w:val="clear" w:color="auto" w:fill="auto"/>
            <w:noWrap/>
            <w:vAlign w:val="center"/>
          </w:tcPr>
          <w:p>
            <w:pPr>
              <w:spacing w:line="360" w:lineRule="auto"/>
              <w:jc w:val="center"/>
              <w:rPr>
                <w:sz w:val="24"/>
              </w:rPr>
            </w:pPr>
            <w:r>
              <w:rPr>
                <w:rFonts w:hint="eastAsia"/>
                <w:sz w:val="24"/>
              </w:rPr>
              <w:t>1.00</w:t>
            </w:r>
          </w:p>
        </w:tc>
      </w:tr>
    </w:tbl>
    <w:p>
      <w:pPr>
        <w:spacing w:line="360" w:lineRule="auto"/>
        <w:ind w:left="420" w:leftChars="200"/>
        <w:rPr>
          <w:sz w:val="24"/>
        </w:rPr>
      </w:pPr>
      <w:r>
        <w:rPr>
          <w:rFonts w:hint="eastAsia"/>
          <w:sz w:val="24"/>
        </w:rPr>
        <w:t>4、主压泵（自制件）</w:t>
      </w:r>
    </w:p>
    <w:p>
      <w:pPr>
        <w:spacing w:line="360" w:lineRule="auto"/>
        <w:ind w:left="420" w:leftChars="200" w:firstLine="360" w:firstLineChars="150"/>
        <w:rPr>
          <w:sz w:val="24"/>
        </w:rPr>
      </w:pPr>
      <w:r>
        <w:rPr>
          <w:rFonts w:hint="eastAsia"/>
          <w:sz w:val="24"/>
        </w:rPr>
        <w:t>型号：WYB 2500/105（五缸单作用柱塞泵）</w:t>
      </w:r>
    </w:p>
    <w:p>
      <w:pPr>
        <w:spacing w:line="360" w:lineRule="auto"/>
        <w:ind w:left="420" w:leftChars="200" w:firstLine="360" w:firstLineChars="150"/>
        <w:rPr>
          <w:sz w:val="24"/>
        </w:rPr>
      </w:pPr>
      <w:r>
        <w:rPr>
          <w:rFonts w:hint="eastAsia"/>
          <w:sz w:val="24"/>
        </w:rPr>
        <w:t>柱塞直径：Φ100 mm、Φ115mm、Φ125mm（任选一种）</w:t>
      </w:r>
    </w:p>
    <w:p>
      <w:pPr>
        <w:spacing w:line="360" w:lineRule="auto"/>
        <w:ind w:left="420" w:leftChars="200" w:firstLine="360" w:firstLineChars="150"/>
        <w:rPr>
          <w:sz w:val="24"/>
        </w:rPr>
      </w:pPr>
      <w:r>
        <w:rPr>
          <w:rFonts w:hint="eastAsia"/>
          <w:sz w:val="24"/>
        </w:rPr>
        <w:t>冲程：203.2mm</w:t>
      </w:r>
    </w:p>
    <w:p>
      <w:pPr>
        <w:spacing w:line="360" w:lineRule="auto"/>
        <w:ind w:left="420" w:leftChars="200" w:firstLine="360" w:firstLineChars="150"/>
        <w:rPr>
          <w:sz w:val="24"/>
        </w:rPr>
      </w:pPr>
      <w:r>
        <w:rPr>
          <w:rFonts w:hint="eastAsia"/>
          <w:sz w:val="24"/>
        </w:rPr>
        <w:t>水功率：2500HP</w:t>
      </w:r>
    </w:p>
    <w:p>
      <w:pPr>
        <w:spacing w:line="360" w:lineRule="auto"/>
        <w:ind w:left="420" w:leftChars="200" w:firstLine="360" w:firstLineChars="150"/>
        <w:rPr>
          <w:sz w:val="24"/>
        </w:rPr>
      </w:pPr>
      <w:r>
        <w:rPr>
          <w:rFonts w:hint="eastAsia"/>
          <w:sz w:val="24"/>
        </w:rPr>
        <w:t>泵内减速比：6.3889</w:t>
      </w:r>
    </w:p>
    <w:p>
      <w:pPr>
        <w:spacing w:line="360" w:lineRule="auto"/>
        <w:ind w:left="420" w:leftChars="200"/>
        <w:rPr>
          <w:sz w:val="24"/>
        </w:rPr>
      </w:pPr>
      <w:r>
        <w:rPr>
          <w:rFonts w:hint="eastAsia"/>
          <w:sz w:val="24"/>
        </w:rPr>
        <w:t>5、控制系统（近/远控制）</w:t>
      </w:r>
    </w:p>
    <w:p>
      <w:pPr>
        <w:spacing w:line="360" w:lineRule="auto"/>
        <w:ind w:left="420" w:leftChars="200" w:firstLine="360" w:firstLineChars="150"/>
        <w:rPr>
          <w:sz w:val="24"/>
        </w:rPr>
      </w:pPr>
      <w:r>
        <w:rPr>
          <w:rFonts w:hint="eastAsia"/>
          <w:sz w:val="24"/>
        </w:rPr>
        <w:t>①、近距离控制包括：柴油机启动、停机、转速调节，柴油机冷却液温度，柴油机机油油压，变速箱油温、油压，主压泵油温、油压，变速箱挡位显示。</w:t>
      </w:r>
    </w:p>
    <w:p>
      <w:pPr>
        <w:spacing w:line="360" w:lineRule="auto"/>
        <w:ind w:left="420" w:leftChars="200" w:firstLine="360" w:firstLineChars="150"/>
        <w:rPr>
          <w:sz w:val="24"/>
        </w:rPr>
      </w:pPr>
      <w:r>
        <w:rPr>
          <w:rFonts w:hint="eastAsia"/>
          <w:sz w:val="24"/>
        </w:rPr>
        <w:t>②、远距离控制包括：报警装置（柴油机冷却液水位、柴油机冷却液温度、柴油机机油压力；变速箱油温、油压；主压泵油温、油压的报警），柴油机启动、停机，柴油机转数显示，主压泵的理论排量显示，变速箱的挡位显示，主压泵的超压保护装置。</w:t>
      </w:r>
    </w:p>
    <w:p>
      <w:pPr>
        <w:spacing w:line="360" w:lineRule="auto"/>
        <w:ind w:left="420" w:leftChars="200" w:firstLine="360" w:firstLineChars="150"/>
        <w:rPr>
          <w:sz w:val="24"/>
        </w:rPr>
      </w:pPr>
      <w:r>
        <w:rPr>
          <w:rFonts w:hint="eastAsia"/>
          <w:sz w:val="24"/>
        </w:rPr>
        <w:t>也可以和混砂车共同进行网络控制。</w:t>
      </w:r>
    </w:p>
    <w:p>
      <w:pPr>
        <w:spacing w:line="360" w:lineRule="auto"/>
        <w:ind w:left="420" w:leftChars="200"/>
        <w:rPr>
          <w:sz w:val="24"/>
        </w:rPr>
      </w:pPr>
      <w:r>
        <w:rPr>
          <w:rFonts w:hint="eastAsia"/>
          <w:sz w:val="24"/>
        </w:rPr>
        <w:t>6、润滑系统</w:t>
      </w:r>
    </w:p>
    <w:p>
      <w:pPr>
        <w:spacing w:line="360" w:lineRule="auto"/>
        <w:ind w:left="420" w:leftChars="200" w:firstLine="360" w:firstLineChars="150"/>
        <w:rPr>
          <w:sz w:val="24"/>
        </w:rPr>
      </w:pPr>
      <w:r>
        <w:rPr>
          <w:rFonts w:hint="eastAsia"/>
          <w:sz w:val="24"/>
        </w:rPr>
        <w:t>可分为主压泵动力端润滑和柱塞润滑两个润滑系统。</w:t>
      </w:r>
    </w:p>
    <w:p>
      <w:pPr>
        <w:spacing w:line="360" w:lineRule="auto"/>
        <w:ind w:left="420" w:leftChars="200" w:firstLine="360" w:firstLineChars="150"/>
        <w:rPr>
          <w:sz w:val="24"/>
        </w:rPr>
      </w:pPr>
      <w:r>
        <w:rPr>
          <w:rFonts w:hint="eastAsia"/>
          <w:sz w:val="24"/>
        </w:rPr>
        <w:t>主压泵动力润滑由齿轮泵、溢流阀、滤油器、油压表等部件组成的，通过强迫和飞溅润滑方式对动力端所有的运动副进行润滑。</w:t>
      </w:r>
    </w:p>
    <w:p>
      <w:pPr>
        <w:spacing w:line="360" w:lineRule="auto"/>
        <w:ind w:left="420" w:leftChars="200" w:firstLine="360" w:firstLineChars="150"/>
        <w:rPr>
          <w:sz w:val="24"/>
        </w:rPr>
      </w:pPr>
      <w:r>
        <w:rPr>
          <w:rFonts w:hint="eastAsia"/>
          <w:sz w:val="24"/>
        </w:rPr>
        <w:t>柱塞润滑由PT泵和油箱组成的，通PT泵对柱塞及柱塞密封件进行强制润滑。</w:t>
      </w:r>
    </w:p>
    <w:p>
      <w:pPr>
        <w:spacing w:line="360" w:lineRule="auto"/>
        <w:ind w:left="420" w:leftChars="200"/>
        <w:rPr>
          <w:sz w:val="24"/>
        </w:rPr>
      </w:pPr>
      <w:r>
        <w:rPr>
          <w:rFonts w:hint="eastAsia"/>
          <w:sz w:val="24"/>
        </w:rPr>
        <w:t>7、冷却系统</w:t>
      </w:r>
    </w:p>
    <w:p>
      <w:pPr>
        <w:spacing w:line="360" w:lineRule="auto"/>
        <w:ind w:left="420" w:leftChars="200" w:firstLine="360" w:firstLineChars="150"/>
        <w:rPr>
          <w:sz w:val="24"/>
        </w:rPr>
      </w:pPr>
      <w:r>
        <w:rPr>
          <w:rFonts w:hint="eastAsia"/>
          <w:sz w:val="24"/>
        </w:rPr>
        <w:t>冷却系统由散热器对主压泵润滑油与变速器液力传动油分别进行冷却，散热器放置台上柴油机的散热器的前端。</w:t>
      </w:r>
    </w:p>
    <w:p>
      <w:pPr>
        <w:spacing w:line="360" w:lineRule="auto"/>
        <w:ind w:left="420" w:leftChars="200"/>
        <w:rPr>
          <w:sz w:val="24"/>
        </w:rPr>
      </w:pPr>
      <w:r>
        <w:rPr>
          <w:rFonts w:hint="eastAsia"/>
          <w:sz w:val="24"/>
        </w:rPr>
        <w:t>8、吸入管系</w:t>
      </w:r>
    </w:p>
    <w:p>
      <w:pPr>
        <w:spacing w:line="360" w:lineRule="auto"/>
        <w:ind w:left="420" w:leftChars="200" w:firstLine="360" w:firstLineChars="150"/>
        <w:rPr>
          <w:sz w:val="24"/>
        </w:rPr>
      </w:pPr>
      <w:r>
        <w:rPr>
          <w:rFonts w:hint="eastAsia"/>
          <w:sz w:val="24"/>
        </w:rPr>
        <w:t>吸入口4"双吸入口，布置在车的后端。</w:t>
      </w:r>
    </w:p>
    <w:p>
      <w:pPr>
        <w:spacing w:line="360" w:lineRule="auto"/>
        <w:ind w:left="420" w:leftChars="200"/>
        <w:rPr>
          <w:sz w:val="24"/>
        </w:rPr>
      </w:pPr>
      <w:r>
        <w:rPr>
          <w:rFonts w:hint="eastAsia"/>
          <w:sz w:val="24"/>
        </w:rPr>
        <w:t>9、排出管系</w:t>
      </w:r>
    </w:p>
    <w:p>
      <w:pPr>
        <w:spacing w:line="360" w:lineRule="auto"/>
        <w:ind w:left="420" w:leftChars="200" w:firstLine="360" w:firstLineChars="150"/>
        <w:rPr>
          <w:sz w:val="24"/>
        </w:rPr>
      </w:pPr>
      <w:r>
        <w:rPr>
          <w:rFonts w:hint="eastAsia"/>
          <w:sz w:val="24"/>
        </w:rPr>
        <w:t>排出管径为3"，耐压105 MPa。是由抗震压力表、安全阀、压力传感器以及直管、弯头、快速接头组成，布置在车的后端。</w:t>
      </w:r>
    </w:p>
    <w:p>
      <w:pPr>
        <w:spacing w:line="360" w:lineRule="auto"/>
        <w:ind w:firstLine="480" w:firstLineChars="200"/>
        <w:rPr>
          <w:sz w:val="24"/>
        </w:rPr>
      </w:pPr>
      <w:r>
        <w:rPr>
          <w:rFonts w:hint="eastAsia"/>
          <w:sz w:val="24"/>
        </w:rPr>
        <w:t>10、其它</w:t>
      </w:r>
    </w:p>
    <w:p>
      <w:pPr>
        <w:spacing w:line="360" w:lineRule="auto"/>
        <w:ind w:firstLine="480" w:firstLineChars="200"/>
        <w:rPr>
          <w:sz w:val="24"/>
        </w:rPr>
      </w:pPr>
      <w:r>
        <w:rPr>
          <w:rFonts w:hint="eastAsia"/>
          <w:sz w:val="24"/>
        </w:rPr>
        <w:t>⑴、4"吸入低压软管，6 m×2根</w:t>
      </w:r>
    </w:p>
    <w:p>
      <w:pPr>
        <w:spacing w:line="360" w:lineRule="auto"/>
        <w:ind w:firstLine="480" w:firstLineChars="200"/>
        <w:rPr>
          <w:sz w:val="24"/>
        </w:rPr>
      </w:pPr>
      <w:r>
        <w:rPr>
          <w:rFonts w:hint="eastAsia"/>
          <w:sz w:val="24"/>
        </w:rPr>
        <w:t>⑵、3"高压活动弯头，4件</w:t>
      </w:r>
    </w:p>
    <w:p>
      <w:pPr>
        <w:spacing w:line="360" w:lineRule="auto"/>
        <w:ind w:firstLine="480" w:firstLineChars="200"/>
        <w:rPr>
          <w:sz w:val="24"/>
        </w:rPr>
      </w:pPr>
      <w:r>
        <w:rPr>
          <w:rFonts w:hint="eastAsia"/>
          <w:sz w:val="24"/>
        </w:rPr>
        <w:t>⑶、3"高压直管，2.5 m×3根，1.5 m×3根</w:t>
      </w:r>
    </w:p>
    <w:p>
      <w:pPr>
        <w:spacing w:line="360" w:lineRule="auto"/>
        <w:ind w:firstLine="480" w:firstLineChars="200"/>
        <w:rPr>
          <w:sz w:val="24"/>
        </w:rPr>
      </w:pPr>
      <w:r>
        <w:rPr>
          <w:rFonts w:hint="eastAsia"/>
          <w:sz w:val="24"/>
        </w:rPr>
        <w:t>⑷、高压入井短节，1套，3"扣＋3"凹头，长300 mm（扣形甲方提供）</w:t>
      </w:r>
    </w:p>
    <w:p>
      <w:pPr>
        <w:spacing w:line="360" w:lineRule="auto"/>
        <w:ind w:firstLine="480" w:firstLineChars="200"/>
        <w:rPr>
          <w:sz w:val="24"/>
        </w:rPr>
      </w:pPr>
      <w:r>
        <w:rPr>
          <w:rFonts w:hint="eastAsia"/>
          <w:sz w:val="24"/>
        </w:rPr>
        <w:t>⑸、高压短节：3"（凸）×2"（凹）×1根</w:t>
      </w:r>
    </w:p>
    <w:p>
      <w:pPr>
        <w:spacing w:line="360" w:lineRule="auto"/>
        <w:ind w:firstLine="480" w:firstLineChars="200"/>
        <w:rPr>
          <w:sz w:val="24"/>
        </w:rPr>
      </w:pPr>
      <w:r>
        <w:rPr>
          <w:rFonts w:hint="eastAsia"/>
          <w:sz w:val="24"/>
        </w:rPr>
        <w:t>⑹、3"高压三通：1件</w:t>
      </w:r>
    </w:p>
    <w:p>
      <w:pPr>
        <w:spacing w:line="360" w:lineRule="auto"/>
        <w:ind w:firstLine="480" w:firstLineChars="200"/>
        <w:rPr>
          <w:sz w:val="24"/>
        </w:rPr>
      </w:pPr>
      <w:r>
        <w:rPr>
          <w:rFonts w:hint="eastAsia"/>
          <w:sz w:val="24"/>
        </w:rPr>
        <w:t>注：以上高压附件均耐压105MPa.</w:t>
      </w:r>
    </w:p>
    <w:p>
      <w:pPr>
        <w:spacing w:line="360" w:lineRule="auto"/>
        <w:ind w:firstLine="480" w:firstLineChars="200"/>
        <w:rPr>
          <w:sz w:val="24"/>
        </w:rPr>
      </w:pPr>
      <w:r>
        <w:rPr>
          <w:rFonts w:hint="eastAsia"/>
          <w:sz w:val="24"/>
        </w:rPr>
        <w:t>⑺、带夜间照明灯，便于夜间施工。</w:t>
      </w:r>
    </w:p>
    <w:p>
      <w:pPr>
        <w:spacing w:line="360" w:lineRule="auto"/>
        <w:ind w:firstLine="480" w:firstLineChars="200"/>
        <w:rPr>
          <w:sz w:val="24"/>
        </w:rPr>
      </w:pPr>
      <w:r>
        <w:rPr>
          <w:rFonts w:hint="eastAsia"/>
          <w:sz w:val="24"/>
        </w:rPr>
        <w:t>⑻、带8磅灭火器2件，安装在车的侧面。</w:t>
      </w:r>
    </w:p>
    <w:p>
      <w:pPr>
        <w:spacing w:line="360" w:lineRule="auto"/>
        <w:ind w:firstLine="480" w:firstLineChars="200"/>
        <w:rPr>
          <w:sz w:val="24"/>
          <w:szCs w:val="24"/>
        </w:rPr>
      </w:pPr>
      <w:r>
        <w:rPr>
          <w:rFonts w:hint="eastAsia"/>
          <w:sz w:val="24"/>
        </w:rPr>
        <w:t>⑼、要求所有结构件的焊缝需打磨，平整光滑。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长城黑体">
    <w:altName w:val="Times New Roman"/>
    <w:panose1 w:val="00000000000000000000"/>
    <w:charset w:val="00"/>
    <w:family w:val="auto"/>
    <w:pitch w:val="default"/>
    <w:sig w:usb0="00000000" w:usb1="00000000" w:usb2="00000000" w:usb3="00000000" w:csb0="00000000" w:csb1="00000000"/>
  </w:font>
  <w:font w:name="金长城黑宋体">
    <w:altName w:val="宋体"/>
    <w:panose1 w:val="0201060900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15C9"/>
    <w:rsid w:val="00444818"/>
    <w:rsid w:val="00AE15C9"/>
    <w:rsid w:val="23210C46"/>
    <w:rsid w:val="31106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176</Words>
  <Characters>1004</Characters>
  <Lines>8</Lines>
  <Paragraphs>2</Paragraphs>
  <TotalTime>1</TotalTime>
  <ScaleCrop>false</ScaleCrop>
  <LinksUpToDate>false</LinksUpToDate>
  <CharactersWithSpaces>1178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2019-10-09T01:14:00Z</dcterms:created>
  <dc:creator>Admin</dc:creator>
  <cp:lastModifiedBy>王涛18919158413</cp:lastModifiedBy>
  <dcterms:modified xsi:type="dcterms:W3CDTF">2019-10-23T03:02:29Z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